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AC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3</w:t>
      </w: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Pr="007E1EDD" w:rsidRDefault="007E1EDD" w:rsidP="00EC65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20" w:type="dxa"/>
        <w:jc w:val="center"/>
        <w:tblLook w:val="04A0" w:firstRow="1" w:lastRow="0" w:firstColumn="1" w:lastColumn="0" w:noHBand="0" w:noVBand="1"/>
      </w:tblPr>
      <w:tblGrid>
        <w:gridCol w:w="2660"/>
        <w:gridCol w:w="356"/>
        <w:gridCol w:w="2376"/>
        <w:gridCol w:w="3820"/>
        <w:gridCol w:w="1270"/>
        <w:gridCol w:w="1869"/>
        <w:gridCol w:w="1869"/>
      </w:tblGrid>
      <w:tr w:rsidR="00700703" w:rsidTr="00C53B11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</w:tcPr>
          <w:p w:rsidR="00700703" w:rsidRDefault="00BE6754" w:rsidP="007E1E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6E22">
              <w:rPr>
                <w:rFonts w:ascii="Times New Roman" w:hAnsi="Times New Roman" w:cs="Times New Roman"/>
                <w:b/>
                <w:sz w:val="28"/>
              </w:rPr>
              <w:t xml:space="preserve">Specyfikacja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techniczna </w:t>
            </w:r>
            <w:r w:rsidRPr="009D4C37">
              <w:rPr>
                <w:rFonts w:ascii="Times New Roman" w:hAnsi="Times New Roman" w:cs="Times New Roman"/>
                <w:b/>
                <w:sz w:val="28"/>
                <w:szCs w:val="28"/>
              </w:rPr>
              <w:t>stacji rafinująco-filtracyjnej</w:t>
            </w:r>
          </w:p>
        </w:tc>
      </w:tr>
      <w:tr w:rsidR="00786070" w:rsidTr="00786070">
        <w:trPr>
          <w:jc w:val="center"/>
        </w:trPr>
        <w:tc>
          <w:tcPr>
            <w:tcW w:w="2660" w:type="dxa"/>
          </w:tcPr>
          <w:p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Numer dokumentu:</w:t>
            </w:r>
          </w:p>
        </w:tc>
        <w:tc>
          <w:tcPr>
            <w:tcW w:w="11560" w:type="dxa"/>
            <w:gridSpan w:val="6"/>
          </w:tcPr>
          <w:p w:rsidR="00786070" w:rsidRPr="00772509" w:rsidRDefault="00BE675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TS NPA/0044-2</w:t>
            </w:r>
          </w:p>
        </w:tc>
      </w:tr>
      <w:tr w:rsidR="00786070" w:rsidTr="00786070">
        <w:trPr>
          <w:jc w:val="center"/>
        </w:trPr>
        <w:tc>
          <w:tcPr>
            <w:tcW w:w="2660" w:type="dxa"/>
          </w:tcPr>
          <w:p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Wersja dokumentu:</w:t>
            </w:r>
          </w:p>
        </w:tc>
        <w:tc>
          <w:tcPr>
            <w:tcW w:w="11560" w:type="dxa"/>
            <w:gridSpan w:val="6"/>
          </w:tcPr>
          <w:p w:rsidR="00786070" w:rsidRPr="00771CEE" w:rsidRDefault="00786070" w:rsidP="00771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3.0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86070" w:rsidRPr="00772509" w:rsidTr="00786070">
        <w:trPr>
          <w:jc w:val="center"/>
        </w:trPr>
        <w:tc>
          <w:tcPr>
            <w:tcW w:w="2660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Data modyfikacji:</w:t>
            </w:r>
          </w:p>
        </w:tc>
        <w:tc>
          <w:tcPr>
            <w:tcW w:w="11560" w:type="dxa"/>
            <w:gridSpan w:val="6"/>
          </w:tcPr>
          <w:p w:rsidR="00786070" w:rsidRPr="00771CEE" w:rsidRDefault="009118E9" w:rsidP="00771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86070" w:rsidRPr="00771CEE">
              <w:rPr>
                <w:rFonts w:ascii="Times New Roman" w:hAnsi="Times New Roman" w:cs="Times New Roman"/>
                <w:sz w:val="24"/>
              </w:rPr>
              <w:t>.0</w:t>
            </w:r>
            <w:r w:rsidR="00771CEE" w:rsidRPr="00771CEE">
              <w:rPr>
                <w:rFonts w:ascii="Times New Roman" w:hAnsi="Times New Roman" w:cs="Times New Roman"/>
                <w:sz w:val="24"/>
              </w:rPr>
              <w:t>7</w:t>
            </w:r>
            <w:r w:rsidR="00786070" w:rsidRPr="00771CEE">
              <w:rPr>
                <w:rFonts w:ascii="Times New Roman" w:hAnsi="Times New Roman" w:cs="Times New Roman"/>
                <w:sz w:val="24"/>
              </w:rPr>
              <w:t>.2017 r.</w:t>
            </w:r>
          </w:p>
        </w:tc>
      </w:tr>
      <w:tr w:rsidR="00786070" w:rsidRPr="00772509" w:rsidTr="00786070">
        <w:trPr>
          <w:trHeight w:val="133"/>
          <w:jc w:val="center"/>
        </w:trPr>
        <w:tc>
          <w:tcPr>
            <w:tcW w:w="2660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Koordynator projektu:</w:t>
            </w:r>
          </w:p>
        </w:tc>
        <w:tc>
          <w:tcPr>
            <w:tcW w:w="11560" w:type="dxa"/>
            <w:gridSpan w:val="6"/>
          </w:tcPr>
          <w:p w:rsidR="00786070" w:rsidRPr="00771CEE" w:rsidRDefault="0078607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sz w:val="24"/>
              </w:rPr>
              <w:t>Piotr Uliasz</w:t>
            </w:r>
          </w:p>
        </w:tc>
      </w:tr>
      <w:tr w:rsidR="00786070" w:rsidRPr="00772509" w:rsidTr="00786070">
        <w:trPr>
          <w:jc w:val="center"/>
        </w:trPr>
        <w:tc>
          <w:tcPr>
            <w:tcW w:w="2660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Kontakt e-mail:</w:t>
            </w:r>
          </w:p>
        </w:tc>
        <w:tc>
          <w:tcPr>
            <w:tcW w:w="11560" w:type="dxa"/>
            <w:gridSpan w:val="6"/>
          </w:tcPr>
          <w:p w:rsidR="00786070" w:rsidRDefault="0078607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piotr.uliasz@npa.pl</w:t>
            </w:r>
            <w:r w:rsidR="00BE675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700703" w:rsidTr="00D61F6F">
        <w:trPr>
          <w:trHeight w:val="2110"/>
          <w:jc w:val="center"/>
        </w:trPr>
        <w:tc>
          <w:tcPr>
            <w:tcW w:w="14220" w:type="dxa"/>
            <w:gridSpan w:val="7"/>
          </w:tcPr>
          <w:p w:rsidR="00BE6754" w:rsidRPr="006F533C" w:rsidRDefault="00BE6754" w:rsidP="00BE675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i/>
                <w:sz w:val="24"/>
              </w:rPr>
              <w:t>Opis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ogólny stacji rafinująco-filtracyjnej</w:t>
            </w:r>
          </w:p>
          <w:p w:rsidR="00700703" w:rsidRPr="006F533C" w:rsidRDefault="00BE6754" w:rsidP="00BE675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Rafinacja i filtracja jest etapem technologii produkcji walcówki z aluminium i stopów aluminium następującym po etapie stopowania ciekłego metalu. Stacja rafinująco-filtracyjna jest elementem przeznaczonym do wykonania następujących procesów technologicznych: rafinacja gazowa, filtracja oraz modyfikacja struktury objętych etapem rafinacja i filtracja. W wyniku wykonanych procesów uzyskuje się ciekły metal o określonej temperaturze i parametrach technologicznych. Kolejnym etapem technologii jest odlewanie i walcowanie. Krytycznymi parametrami stacji</w:t>
            </w:r>
            <w:r w:rsidRPr="00D8198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rafinująco-filtracyjnej są: wydajność produkcyjna dostosowana do wydajności produkcyjnej linii CCR – wynosząca dla aluminium EN AW 1370 – 5000 kg/h, poziom zawartości wodoru w ciekłym metalu po rafinacji - max 0,15 ml/100 g oraz wydajność usuwania zanieczyszczeń – min 95%.</w:t>
            </w:r>
          </w:p>
        </w:tc>
      </w:tr>
      <w:tr w:rsidR="00771CEE" w:rsidTr="00981C2E">
        <w:trPr>
          <w:trHeight w:val="320"/>
          <w:jc w:val="center"/>
        </w:trPr>
        <w:tc>
          <w:tcPr>
            <w:tcW w:w="9212" w:type="dxa"/>
            <w:gridSpan w:val="4"/>
            <w:vMerge w:val="restart"/>
          </w:tcPr>
          <w:p w:rsidR="00771CEE" w:rsidRDefault="00771CEE" w:rsidP="00771C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91EDB">
              <w:rPr>
                <w:rFonts w:ascii="Times New Roman" w:hAnsi="Times New Roman" w:cs="Times New Roman"/>
                <w:b/>
                <w:sz w:val="24"/>
              </w:rPr>
              <w:t xml:space="preserve">Dostawca </w:t>
            </w:r>
            <w:r w:rsidRPr="00BE6754">
              <w:rPr>
                <w:rFonts w:ascii="Times New Roman" w:hAnsi="Times New Roman" w:cs="Times New Roman"/>
                <w:b/>
                <w:sz w:val="24"/>
              </w:rPr>
              <w:t xml:space="preserve">stacji rafinująco-filtracyjnej </w:t>
            </w:r>
            <w:r w:rsidRPr="00B91EDB">
              <w:rPr>
                <w:rFonts w:ascii="Times New Roman" w:hAnsi="Times New Roman" w:cs="Times New Roman"/>
                <w:b/>
                <w:sz w:val="24"/>
              </w:rPr>
              <w:t>rozumie, że:</w:t>
            </w:r>
          </w:p>
          <w:p w:rsidR="00771CEE" w:rsidRPr="00312EAF" w:rsidRDefault="00771CEE" w:rsidP="00771CE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pisane poniżej przez Kupującego specyficzne wymagania dotyczące parametrów urządzeń wchodzących w zakres bloków funkcyjnych </w:t>
            </w:r>
            <w:r w:rsidRPr="00771CEE">
              <w:rPr>
                <w:rFonts w:ascii="Times New Roman" w:hAnsi="Times New Roman" w:cs="Times New Roman"/>
                <w:sz w:val="24"/>
              </w:rPr>
              <w:t>stacji rafinująco-filtracyjnej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 są wymaganymi ponadstandardowymi w stosunku do typowych rozwiązań stosowanych w </w:t>
            </w:r>
            <w:r>
              <w:rPr>
                <w:rFonts w:ascii="Times New Roman" w:hAnsi="Times New Roman" w:cs="Times New Roman"/>
                <w:sz w:val="24"/>
              </w:rPr>
              <w:t>urządzeniach stacji.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WARUNKIEM SPEŁNIENIA WYMAGAŃ KUPUJĄCEGO JEST PRZEDSTAWIENIE KRÓTKIEGO OPISU </w:t>
            </w:r>
            <w:r>
              <w:rPr>
                <w:rFonts w:ascii="Times New Roman" w:hAnsi="Times New Roman" w:cs="Times New Roman"/>
                <w:b/>
                <w:sz w:val="24"/>
              </w:rPr>
              <w:t>WSZYSTKICH ELEMENTÓW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STACJI 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RAFINUJĄCO-FILTRACYJNEJ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ORAZ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WYKAZANIE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>SPEŁNIENI</w:t>
            </w:r>
            <w:r>
              <w:rPr>
                <w:rFonts w:ascii="Times New Roman" w:hAnsi="Times New Roman" w:cs="Times New Roman"/>
                <w:b/>
                <w:sz w:val="24"/>
              </w:rPr>
              <w:t>A PRZEZ OFEROWANE ROZWIĄZANIE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WSZYSTKICH SPECYFICZNYCH WYMAGAŃ KUPUJĄCEGO. </w:t>
            </w:r>
          </w:p>
          <w:p w:rsidR="00771CEE" w:rsidRPr="00312EAF" w:rsidRDefault="00771CEE" w:rsidP="00771CE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12EAF">
              <w:rPr>
                <w:rFonts w:ascii="Times New Roman" w:hAnsi="Times New Roman" w:cs="Times New Roman"/>
                <w:sz w:val="24"/>
              </w:rPr>
              <w:t xml:space="preserve">brak wyszczególnienia przez Kupującego któregokolwiek ze standardowo stosowanych na rynku elementów </w:t>
            </w:r>
            <w:r w:rsidRPr="00771CEE">
              <w:rPr>
                <w:rFonts w:ascii="Times New Roman" w:hAnsi="Times New Roman" w:cs="Times New Roman"/>
                <w:sz w:val="24"/>
              </w:rPr>
              <w:t>wyposażenia stacji rafinująco-filtracyjnej nie oznacza, że nie jest on wymagany. W przypadku każdorazowej wątpliwości Dostawcy co do zakresu i kompletności dostawy, nie opisanej</w:t>
            </w:r>
            <w:r w:rsidRPr="00312EAF">
              <w:rPr>
                <w:rFonts w:ascii="Times New Roman" w:hAnsi="Times New Roman" w:cs="Times New Roman"/>
                <w:sz w:val="24"/>
              </w:rPr>
              <w:t xml:space="preserve"> w tej specyfikacji, powinien on zwrócić się do Kupującego o wyjaśnienie treści SIWZ w trybie określonym w pkt </w:t>
            </w:r>
            <w:r w:rsidR="00421EF3">
              <w:rPr>
                <w:rFonts w:ascii="Times New Roman" w:hAnsi="Times New Roman" w:cs="Times New Roman"/>
                <w:sz w:val="24"/>
              </w:rPr>
              <w:t xml:space="preserve">II. 12. pkt 2 i 3 </w:t>
            </w:r>
            <w:r w:rsidRPr="00312EAF">
              <w:rPr>
                <w:rFonts w:ascii="Times New Roman" w:hAnsi="Times New Roman" w:cs="Times New Roman"/>
                <w:sz w:val="24"/>
              </w:rPr>
              <w:t>SIWZ.</w:t>
            </w:r>
          </w:p>
          <w:p w:rsidR="00771CEE" w:rsidRPr="00B91EDB" w:rsidRDefault="00771CEE" w:rsidP="00771CEE">
            <w:pPr>
              <w:pStyle w:val="Akapitzli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:rsidR="00771CEE" w:rsidRDefault="00771CEE" w:rsidP="00CA6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WYPEŁNIA OFERENT</w:t>
            </w:r>
          </w:p>
          <w:p w:rsidR="00771CEE" w:rsidRPr="006F533C" w:rsidRDefault="00771CEE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(* niepotrzebne skreślić)</w:t>
            </w:r>
          </w:p>
        </w:tc>
      </w:tr>
      <w:tr w:rsidR="00771CEE" w:rsidTr="00981C2E">
        <w:trPr>
          <w:trHeight w:val="440"/>
          <w:jc w:val="center"/>
        </w:trPr>
        <w:tc>
          <w:tcPr>
            <w:tcW w:w="9212" w:type="dxa"/>
            <w:gridSpan w:val="4"/>
            <w:vMerge/>
          </w:tcPr>
          <w:p w:rsidR="00771CEE" w:rsidRPr="00CA60F0" w:rsidRDefault="00771CEE" w:rsidP="00771CEE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:rsidR="00771CEE" w:rsidRDefault="00771CEE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POTWIERDZAM / NIE POTWIERDZAM*</w:t>
            </w:r>
          </w:p>
        </w:tc>
      </w:tr>
      <w:tr w:rsidR="00A95744" w:rsidRPr="007C4108" w:rsidTr="00981C2E">
        <w:trPr>
          <w:trHeight w:val="328"/>
          <w:jc w:val="center"/>
        </w:trPr>
        <w:tc>
          <w:tcPr>
            <w:tcW w:w="3016" w:type="dxa"/>
            <w:gridSpan w:val="2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Zakres</w:t>
            </w:r>
          </w:p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(I, II, III, …)</w:t>
            </w:r>
          </w:p>
        </w:tc>
        <w:tc>
          <w:tcPr>
            <w:tcW w:w="2376" w:type="dxa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4108">
              <w:rPr>
                <w:rFonts w:ascii="Times New Roman" w:hAnsi="Times New Roman" w:cs="Times New Roman"/>
                <w:b/>
                <w:sz w:val="24"/>
              </w:rPr>
              <w:t>Parametr</w:t>
            </w:r>
          </w:p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(a, b, c, …)</w:t>
            </w:r>
          </w:p>
        </w:tc>
        <w:tc>
          <w:tcPr>
            <w:tcW w:w="3820" w:type="dxa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Wymaganie</w:t>
            </w:r>
          </w:p>
          <w:p w:rsidR="00A95744" w:rsidRPr="007C4108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(1, 2, 3, ….)</w:t>
            </w:r>
          </w:p>
        </w:tc>
        <w:tc>
          <w:tcPr>
            <w:tcW w:w="1270" w:type="dxa"/>
            <w:vMerge w:val="restart"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 kryterium</w:t>
            </w:r>
          </w:p>
        </w:tc>
        <w:tc>
          <w:tcPr>
            <w:tcW w:w="3738" w:type="dxa"/>
            <w:gridSpan w:val="2"/>
            <w:vAlign w:val="center"/>
          </w:tcPr>
          <w:p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WYPEŁNIA OFERENT</w:t>
            </w:r>
          </w:p>
          <w:p w:rsidR="00B91EDB" w:rsidRDefault="00B91EDB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(*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wpisać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137D80" w:rsidRPr="007C4108" w:rsidTr="00981C2E">
        <w:trPr>
          <w:trHeight w:val="328"/>
          <w:jc w:val="center"/>
        </w:trPr>
        <w:tc>
          <w:tcPr>
            <w:tcW w:w="3016" w:type="dxa"/>
            <w:gridSpan w:val="2"/>
            <w:vMerge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Merge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Merge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Potwierdzenie spełnienia </w:t>
            </w:r>
          </w:p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TAK/NIE</w:t>
            </w:r>
            <w:r w:rsidR="00B91EDB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</w:tc>
        <w:tc>
          <w:tcPr>
            <w:tcW w:w="1869" w:type="dxa"/>
            <w:vAlign w:val="center"/>
          </w:tcPr>
          <w:p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Odniesienie do punktu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>/strony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w ofercie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 xml:space="preserve"> technicznej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</w:tc>
      </w:tr>
      <w:tr w:rsidR="0006649D" w:rsidRPr="007C4108" w:rsidTr="00234E7E">
        <w:trPr>
          <w:trHeight w:val="328"/>
          <w:jc w:val="center"/>
        </w:trPr>
        <w:tc>
          <w:tcPr>
            <w:tcW w:w="3016" w:type="dxa"/>
            <w:gridSpan w:val="2"/>
            <w:vMerge w:val="restart"/>
            <w:vAlign w:val="center"/>
          </w:tcPr>
          <w:p w:rsidR="0006649D" w:rsidRDefault="0006649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11DF">
              <w:rPr>
                <w:rFonts w:ascii="Times New Roman" w:hAnsi="Times New Roman" w:cs="Times New Roman"/>
                <w:b/>
                <w:sz w:val="24"/>
              </w:rPr>
              <w:t xml:space="preserve">I. Wsad </w:t>
            </w:r>
          </w:p>
        </w:tc>
        <w:tc>
          <w:tcPr>
            <w:tcW w:w="2376" w:type="dxa"/>
            <w:vAlign w:val="center"/>
          </w:tcPr>
          <w:p w:rsidR="0006649D" w:rsidRPr="007C4108" w:rsidRDefault="0006649D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08">
              <w:rPr>
                <w:rFonts w:ascii="Times New Roman" w:hAnsi="Times New Roman" w:cs="Times New Roman"/>
                <w:sz w:val="24"/>
              </w:rPr>
              <w:t xml:space="preserve">Postać </w:t>
            </w:r>
            <w:r>
              <w:rPr>
                <w:rFonts w:ascii="Times New Roman" w:hAnsi="Times New Roman" w:cs="Times New Roman"/>
                <w:sz w:val="24"/>
              </w:rPr>
              <w:t>wsadu</w:t>
            </w:r>
          </w:p>
        </w:tc>
        <w:tc>
          <w:tcPr>
            <w:tcW w:w="3820" w:type="dxa"/>
            <w:vAlign w:val="center"/>
          </w:tcPr>
          <w:p w:rsidR="0006649D" w:rsidRDefault="0006649D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06649D">
              <w:rPr>
                <w:rFonts w:ascii="Times New Roman" w:hAnsi="Times New Roman" w:cs="Times New Roman"/>
                <w:sz w:val="24"/>
              </w:rPr>
              <w:t xml:space="preserve">Ciekły metal o temperaturze maksymalnej </w:t>
            </w:r>
            <w:r>
              <w:rPr>
                <w:rFonts w:ascii="Times New Roman" w:hAnsi="Times New Roman" w:cs="Times New Roman"/>
                <w:sz w:val="24"/>
              </w:rPr>
              <w:t>850</w:t>
            </w:r>
            <w:r w:rsidRPr="00E509B2">
              <w:rPr>
                <w:rFonts w:ascii="Times New Roman" w:hAnsi="Times New Roman" w:cs="Times New Roman"/>
                <w:sz w:val="24"/>
              </w:rPr>
              <w:t>°C</w:t>
            </w:r>
          </w:p>
        </w:tc>
        <w:tc>
          <w:tcPr>
            <w:tcW w:w="1270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649D" w:rsidRPr="007C4108" w:rsidTr="00234E7E">
        <w:trPr>
          <w:trHeight w:val="328"/>
          <w:jc w:val="center"/>
        </w:trPr>
        <w:tc>
          <w:tcPr>
            <w:tcW w:w="3016" w:type="dxa"/>
            <w:gridSpan w:val="2"/>
            <w:vMerge/>
            <w:vAlign w:val="center"/>
          </w:tcPr>
          <w:p w:rsidR="0006649D" w:rsidRPr="004211DF" w:rsidRDefault="0006649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06649D" w:rsidRPr="009D7BFA" w:rsidRDefault="0006649D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b. </w:t>
            </w:r>
            <w:r w:rsidRPr="009B41EC">
              <w:rPr>
                <w:rFonts w:ascii="Times New Roman" w:hAnsi="Times New Roman" w:cs="Times New Roman"/>
                <w:sz w:val="24"/>
              </w:rPr>
              <w:t>Przelewanie ciekłego metalu</w:t>
            </w:r>
          </w:p>
        </w:tc>
        <w:tc>
          <w:tcPr>
            <w:tcW w:w="3820" w:type="dxa"/>
            <w:vAlign w:val="center"/>
          </w:tcPr>
          <w:p w:rsidR="0006649D" w:rsidRPr="009D7BFA" w:rsidRDefault="0006649D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9B41EC">
              <w:rPr>
                <w:rFonts w:ascii="Times New Roman" w:hAnsi="Times New Roman" w:cs="Times New Roman"/>
                <w:sz w:val="24"/>
              </w:rPr>
              <w:t>Zastosować grawitacyjne, za pomocą rynien wchodzących w zakres dostawy.</w:t>
            </w:r>
          </w:p>
        </w:tc>
        <w:tc>
          <w:tcPr>
            <w:tcW w:w="1270" w:type="dxa"/>
            <w:vAlign w:val="center"/>
          </w:tcPr>
          <w:p w:rsidR="0006649D" w:rsidRPr="00A95744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649D" w:rsidRPr="007C4108" w:rsidTr="00234E7E">
        <w:trPr>
          <w:trHeight w:val="328"/>
          <w:jc w:val="center"/>
        </w:trPr>
        <w:tc>
          <w:tcPr>
            <w:tcW w:w="3016" w:type="dxa"/>
            <w:gridSpan w:val="2"/>
            <w:vMerge/>
            <w:vAlign w:val="center"/>
          </w:tcPr>
          <w:p w:rsidR="0006649D" w:rsidRDefault="0006649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06649D" w:rsidRPr="007C4108" w:rsidRDefault="0006649D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06649D" w:rsidRPr="007C4108" w:rsidRDefault="0006649D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41EC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Maksymalny spadek temperatury ciekłego metalu w rynnie</w:t>
            </w:r>
            <w:r w:rsidRPr="007C41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0,5</w:t>
            </w:r>
            <w:r w:rsidRPr="007C4108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7C4108">
              <w:rPr>
                <w:rFonts w:ascii="Times New Roman" w:hAnsi="Times New Roman" w:cs="Times New Roman"/>
                <w:sz w:val="24"/>
              </w:rPr>
              <w:t>C / metr rynny</w:t>
            </w:r>
          </w:p>
        </w:tc>
        <w:tc>
          <w:tcPr>
            <w:tcW w:w="1270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649D" w:rsidRPr="007C4108" w:rsidTr="00234E7E">
        <w:trPr>
          <w:trHeight w:val="328"/>
          <w:jc w:val="center"/>
        </w:trPr>
        <w:tc>
          <w:tcPr>
            <w:tcW w:w="3016" w:type="dxa"/>
            <w:gridSpan w:val="2"/>
            <w:vAlign w:val="center"/>
          </w:tcPr>
          <w:p w:rsidR="0006649D" w:rsidRDefault="0006649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06649D" w:rsidRPr="007C4108" w:rsidRDefault="0006649D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06649D" w:rsidRPr="009B41EC" w:rsidRDefault="0006649D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6649D" w:rsidRPr="00A95744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6649D" w:rsidRDefault="0006649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232D95" w:rsidTr="00234E7E">
        <w:tblPrEx>
          <w:jc w:val="left"/>
        </w:tblPrEx>
        <w:tc>
          <w:tcPr>
            <w:tcW w:w="3016" w:type="dxa"/>
            <w:gridSpan w:val="2"/>
            <w:vMerge w:val="restart"/>
            <w:vAlign w:val="center"/>
          </w:tcPr>
          <w:p w:rsidR="00823751" w:rsidRPr="004E10F5" w:rsidRDefault="00823751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 Stacja rafinująco-filtracyjna</w:t>
            </w:r>
          </w:p>
        </w:tc>
        <w:tc>
          <w:tcPr>
            <w:tcW w:w="2376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Budowa stacji</w:t>
            </w: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Układ rafinacji gazowej, układ filtracji ciekłego metalu oraz układem do dozowania modyfikatora struktury. Powyższe układy mają zapewniać grawitacyjny ciekłego metalu.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II.a.1.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823751" w:rsidRPr="00232D95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823751" w:rsidRPr="00232D95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232D95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Teren do zabudowy urządzeń stacji</w:t>
            </w: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Zlokalizowanie stacji pomiędzy piecami odlewniczymi a układem zalewowym linii CCR. Dokument pt.: Plan nr 1 oraz Plan 2 – obszar zabudowy B lub C.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823751" w:rsidRPr="00232D95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823751" w:rsidRPr="00232D95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3255B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4E7962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Dostępne media w miejscu lokalizacji</w:t>
            </w:r>
          </w:p>
        </w:tc>
        <w:tc>
          <w:tcPr>
            <w:tcW w:w="3820" w:type="dxa"/>
            <w:vAlign w:val="center"/>
          </w:tcPr>
          <w:p w:rsidR="00823751" w:rsidRPr="004E7962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Dokument pt.: Media</w:t>
            </w:r>
          </w:p>
        </w:tc>
        <w:tc>
          <w:tcPr>
            <w:tcW w:w="127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A335C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Maksymalna t</w:t>
            </w:r>
            <w:r w:rsidRPr="007C4108">
              <w:rPr>
                <w:rFonts w:ascii="Times New Roman" w:hAnsi="Times New Roman" w:cs="Times New Roman"/>
                <w:sz w:val="24"/>
              </w:rPr>
              <w:t xml:space="preserve">emperatura pancerza </w:t>
            </w:r>
            <w:r>
              <w:rPr>
                <w:rFonts w:ascii="Times New Roman" w:hAnsi="Times New Roman" w:cs="Times New Roman"/>
                <w:sz w:val="24"/>
              </w:rPr>
              <w:t>stacji</w:t>
            </w: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5C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50</w:t>
            </w:r>
            <w:r w:rsidRPr="007C4108">
              <w:rPr>
                <w:rFonts w:ascii="Times New Roman" w:hAnsi="Times New Roman" w:cs="Times New Roman"/>
                <w:sz w:val="24"/>
              </w:rPr>
              <w:t>°C powyżej temp. otoczenia</w:t>
            </w:r>
          </w:p>
        </w:tc>
        <w:tc>
          <w:tcPr>
            <w:tcW w:w="1270" w:type="dxa"/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584961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e. </w:t>
            </w:r>
            <w:r w:rsidRPr="00A335CC">
              <w:rPr>
                <w:rFonts w:ascii="Times New Roman" w:hAnsi="Times New Roman" w:cs="Times New Roman"/>
                <w:sz w:val="24"/>
              </w:rPr>
              <w:t xml:space="preserve">Odciąg </w:t>
            </w:r>
            <w:r>
              <w:rPr>
                <w:rFonts w:ascii="Times New Roman" w:hAnsi="Times New Roman" w:cs="Times New Roman"/>
                <w:sz w:val="24"/>
              </w:rPr>
              <w:t xml:space="preserve">gazów z przestrzeni rafinatora oraz </w:t>
            </w:r>
            <w:r w:rsidRPr="00A335CC">
              <w:rPr>
                <w:rFonts w:ascii="Times New Roman" w:hAnsi="Times New Roman" w:cs="Times New Roman"/>
                <w:sz w:val="24"/>
              </w:rPr>
              <w:t>nad oknem wsadowym</w:t>
            </w:r>
          </w:p>
        </w:tc>
        <w:tc>
          <w:tcPr>
            <w:tcW w:w="3820" w:type="dxa"/>
            <w:vAlign w:val="center"/>
          </w:tcPr>
          <w:p w:rsidR="00823751" w:rsidRPr="00584961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0E2B53">
              <w:rPr>
                <w:rFonts w:ascii="Times New Roman" w:hAnsi="Times New Roman" w:cs="Times New Roman"/>
                <w:sz w:val="24"/>
              </w:rPr>
              <w:t>Zastosowanie</w:t>
            </w:r>
            <w:r>
              <w:rPr>
                <w:rFonts w:ascii="Times New Roman" w:hAnsi="Times New Roman" w:cs="Times New Roman"/>
                <w:sz w:val="24"/>
              </w:rPr>
              <w:t xml:space="preserve"> odciągu oraz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 okapu </w:t>
            </w:r>
            <w:r>
              <w:rPr>
                <w:rFonts w:ascii="Times New Roman" w:hAnsi="Times New Roman" w:cs="Times New Roman"/>
                <w:sz w:val="24"/>
              </w:rPr>
              <w:t xml:space="preserve">lub obudowy </w:t>
            </w:r>
            <w:r w:rsidRPr="000E2B53">
              <w:rPr>
                <w:rFonts w:ascii="Times New Roman" w:hAnsi="Times New Roman" w:cs="Times New Roman"/>
                <w:sz w:val="24"/>
              </w:rPr>
              <w:t>wraz z konstrukcją wsporczą</w:t>
            </w:r>
          </w:p>
        </w:tc>
        <w:tc>
          <w:tcPr>
            <w:tcW w:w="1270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9D7B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f. </w:t>
            </w:r>
            <w:r w:rsidRPr="009B41EC">
              <w:rPr>
                <w:rFonts w:ascii="Times New Roman" w:hAnsi="Times New Roman" w:cs="Times New Roman"/>
                <w:sz w:val="24"/>
              </w:rPr>
              <w:t>Przelewanie ciekłego</w:t>
            </w:r>
            <w:r w:rsidRPr="00C77C61">
              <w:rPr>
                <w:rFonts w:ascii="Times New Roman" w:hAnsi="Times New Roman" w:cs="Times New Roman"/>
                <w:sz w:val="24"/>
              </w:rPr>
              <w:t xml:space="preserve"> metalu do układu zalewowego linii CCR</w:t>
            </w:r>
          </w:p>
        </w:tc>
        <w:tc>
          <w:tcPr>
            <w:tcW w:w="3820" w:type="dxa"/>
            <w:vAlign w:val="center"/>
          </w:tcPr>
          <w:p w:rsidR="00823751" w:rsidRPr="009D7B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9B41EC">
              <w:rPr>
                <w:rFonts w:ascii="Times New Roman" w:hAnsi="Times New Roman" w:cs="Times New Roman"/>
                <w:sz w:val="24"/>
              </w:rPr>
              <w:t>Zastosow</w:t>
            </w:r>
            <w:r>
              <w:rPr>
                <w:rFonts w:ascii="Times New Roman" w:hAnsi="Times New Roman" w:cs="Times New Roman"/>
                <w:sz w:val="24"/>
              </w:rPr>
              <w:t>ane</w:t>
            </w:r>
            <w:r w:rsidRPr="009B41EC">
              <w:rPr>
                <w:rFonts w:ascii="Times New Roman" w:hAnsi="Times New Roman" w:cs="Times New Roman"/>
                <w:sz w:val="24"/>
              </w:rPr>
              <w:t xml:space="preserve"> grawitacyjne, za pomocą rynien wchodzących w zakres dostawy.</w:t>
            </w:r>
          </w:p>
        </w:tc>
        <w:tc>
          <w:tcPr>
            <w:tcW w:w="1270" w:type="dxa"/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41EC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Maksymalny spadek temperatury ciekłego metalu w rynnie</w:t>
            </w:r>
            <w:r w:rsidRPr="007C41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0,5</w:t>
            </w:r>
            <w:r w:rsidRPr="007C4108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7C4108">
              <w:rPr>
                <w:rFonts w:ascii="Times New Roman" w:hAnsi="Times New Roman" w:cs="Times New Roman"/>
                <w:sz w:val="24"/>
              </w:rPr>
              <w:t>C / metr rynny</w:t>
            </w:r>
          </w:p>
        </w:tc>
        <w:tc>
          <w:tcPr>
            <w:tcW w:w="1270" w:type="dxa"/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7C4108" w:rsidRDefault="00823751" w:rsidP="006906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384FF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Dokumentacja techniczna</w:t>
            </w:r>
          </w:p>
        </w:tc>
        <w:tc>
          <w:tcPr>
            <w:tcW w:w="3820" w:type="dxa"/>
            <w:vAlign w:val="center"/>
          </w:tcPr>
          <w:p w:rsidR="00823751" w:rsidRPr="009B41EC" w:rsidRDefault="00823751" w:rsidP="0069062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4FF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Dostarczenie kompletnej dokumentacji technicznej obejmującej rysunki fundamentów, okablowania i orurowania linii oraz dokumentacja  niezbędna do prawidłowego zai</w:t>
            </w:r>
            <w:r>
              <w:rPr>
                <w:rFonts w:ascii="Times New Roman" w:hAnsi="Times New Roman" w:cs="Times New Roman"/>
                <w:sz w:val="24"/>
              </w:rPr>
              <w:t>nstalowania i uruchomienia urządzeń.</w:t>
            </w:r>
          </w:p>
        </w:tc>
        <w:tc>
          <w:tcPr>
            <w:tcW w:w="1270" w:type="dxa"/>
            <w:vAlign w:val="center"/>
          </w:tcPr>
          <w:p w:rsidR="00823751" w:rsidRPr="006E014C" w:rsidRDefault="00823751" w:rsidP="008237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4E7962" w:rsidTr="00234E7E">
        <w:tblPrEx>
          <w:jc w:val="left"/>
        </w:tblPrEx>
        <w:tc>
          <w:tcPr>
            <w:tcW w:w="3016" w:type="dxa"/>
            <w:gridSpan w:val="2"/>
          </w:tcPr>
          <w:p w:rsidR="00823751" w:rsidRPr="007C4108" w:rsidRDefault="00823751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9D7B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9D7B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 w:rsidR="00823751" w:rsidRPr="006E014C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E7962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rPr>
          <w:trHeight w:val="970"/>
        </w:trPr>
        <w:tc>
          <w:tcPr>
            <w:tcW w:w="3016" w:type="dxa"/>
            <w:gridSpan w:val="2"/>
            <w:vMerge w:val="restart"/>
            <w:vAlign w:val="center"/>
          </w:tcPr>
          <w:p w:rsidR="00823751" w:rsidRPr="007B4FAF" w:rsidRDefault="00823751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III. Parametry pracy stacji rafinująco-filtracyjnej</w:t>
            </w:r>
          </w:p>
        </w:tc>
        <w:tc>
          <w:tcPr>
            <w:tcW w:w="2376" w:type="dxa"/>
            <w:vAlign w:val="center"/>
          </w:tcPr>
          <w:p w:rsidR="00823751" w:rsidRPr="00771CEE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a.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Wydajność pracy stacji (zdolność rafinacji i filtrowania) - tzw. production rate</w:t>
            </w:r>
          </w:p>
        </w:tc>
        <w:tc>
          <w:tcPr>
            <w:tcW w:w="3820" w:type="dxa"/>
            <w:vAlign w:val="center"/>
          </w:tcPr>
          <w:p w:rsidR="00823751" w:rsidRPr="00771CEE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Dostosowana do wydajności produkcyjnej linii CCR – max 5000 kg/godzinę przy temperaturze ciekłego metalu 850°C</w:t>
            </w:r>
          </w:p>
        </w:tc>
        <w:tc>
          <w:tcPr>
            <w:tcW w:w="1270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III.a.1.</w:t>
            </w:r>
          </w:p>
        </w:tc>
        <w:tc>
          <w:tcPr>
            <w:tcW w:w="1869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771CEE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b. </w:t>
            </w:r>
            <w:r w:rsidRPr="00771CEE">
              <w:rPr>
                <w:rFonts w:ascii="Times New Roman" w:hAnsi="Times New Roman" w:cs="Times New Roman"/>
                <w:sz w:val="24"/>
              </w:rPr>
              <w:t>Podgrzewanie ciekłego metalu</w:t>
            </w:r>
          </w:p>
        </w:tc>
        <w:tc>
          <w:tcPr>
            <w:tcW w:w="3820" w:type="dxa"/>
            <w:vAlign w:val="center"/>
          </w:tcPr>
          <w:p w:rsidR="00823751" w:rsidRPr="00771CEE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771CEE">
              <w:rPr>
                <w:rFonts w:ascii="Times New Roman" w:hAnsi="Times New Roman" w:cs="Times New Roman"/>
                <w:sz w:val="24"/>
              </w:rPr>
              <w:t>Rafinator ma umożliwić utrzymanie stałej temperatury ciekłego metalu w czasie pracy.</w:t>
            </w:r>
          </w:p>
        </w:tc>
        <w:tc>
          <w:tcPr>
            <w:tcW w:w="1270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III.b.1.</w:t>
            </w:r>
          </w:p>
        </w:tc>
        <w:tc>
          <w:tcPr>
            <w:tcW w:w="1869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771CEE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A63289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Rafinacja gazowa</w:t>
            </w:r>
          </w:p>
        </w:tc>
        <w:tc>
          <w:tcPr>
            <w:tcW w:w="3820" w:type="dxa"/>
            <w:vAlign w:val="center"/>
          </w:tcPr>
          <w:p w:rsidR="00823751" w:rsidRPr="00E65CFA" w:rsidRDefault="00823751" w:rsidP="00234E7E">
            <w:pPr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E65CF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Zastosowana r</w:t>
            </w:r>
            <w:r w:rsidRPr="00E65CFA">
              <w:rPr>
                <w:rFonts w:ascii="Times New Roman" w:hAnsi="Times New Roman" w:cs="Times New Roman"/>
                <w:sz w:val="24"/>
              </w:rPr>
              <w:t>afinacj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E65CFA">
              <w:rPr>
                <w:rFonts w:ascii="Times New Roman" w:hAnsi="Times New Roman" w:cs="Times New Roman"/>
                <w:sz w:val="24"/>
              </w:rPr>
              <w:t xml:space="preserve"> barbotażow</w:t>
            </w: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E65CFA">
              <w:rPr>
                <w:rFonts w:ascii="Times New Roman" w:hAnsi="Times New Roman" w:cs="Times New Roman"/>
                <w:sz w:val="24"/>
              </w:rPr>
              <w:t>(za pomocą jednego lub dwóch rotorów)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III.c.1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E65CFA" w:rsidRDefault="00823751" w:rsidP="00234E7E">
            <w:pPr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E65CF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Zastosowanie gazów</w:t>
            </w:r>
            <w:r w:rsidRPr="00E65CFA">
              <w:rPr>
                <w:rFonts w:ascii="Times New Roman" w:hAnsi="Times New Roman" w:cs="Times New Roman"/>
                <w:sz w:val="24"/>
              </w:rPr>
              <w:t>: Ar, Ar+Cl (max 5%)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III.c.2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E65CFA" w:rsidRDefault="00823751" w:rsidP="00234E7E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</w:rPr>
              <w:t xml:space="preserve">Zawartość wodoru w ciekłym metalu po rafinacji: max 0,15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ml/100 g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lastRenderedPageBreak/>
              <w:t>III.c.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Filtracja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Zastosowany układ dwukomorowy pracujący naprzemiennie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Wymienny filtr ceramiczny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E65C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filtrów o gradacji 30 – 50 ppi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E65C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E65C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F468D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Wydajność usuwania zanieczyszczeń: min 95 %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E65CFA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F468DC">
              <w:rPr>
                <w:rFonts w:ascii="Times New Roman" w:hAnsi="Times New Roman" w:cs="Times New Roman"/>
                <w:sz w:val="24"/>
              </w:rPr>
              <w:t>Zastosowane podgrzewanie komory filtracyjnej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Modyfikacja struktury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urządzenia do ciągłego podawania pręta AlTiB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Default="00823751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Zakres regulacji podawania pręta od 0 do 300 cm/min</w:t>
            </w:r>
          </w:p>
        </w:tc>
        <w:tc>
          <w:tcPr>
            <w:tcW w:w="1270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823751" w:rsidRPr="00E65CFA" w:rsidRDefault="00823751" w:rsidP="005805E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 w:val="restart"/>
            <w:vAlign w:val="center"/>
          </w:tcPr>
          <w:p w:rsidR="00823751" w:rsidRPr="00F468DC" w:rsidRDefault="00823751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IV. Pomiary i sterowanie</w:t>
            </w:r>
          </w:p>
        </w:tc>
        <w:tc>
          <w:tcPr>
            <w:tcW w:w="2376" w:type="dxa"/>
            <w:vAlign w:val="center"/>
          </w:tcPr>
          <w:p w:rsidR="00823751" w:rsidRPr="00FB634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sz w:val="24"/>
              </w:rPr>
              <w:t xml:space="preserve">a. Miejsca pomiaru temperatury w </w:t>
            </w:r>
            <w:r>
              <w:rPr>
                <w:rFonts w:ascii="Times New Roman" w:hAnsi="Times New Roman" w:cs="Times New Roman"/>
                <w:sz w:val="24"/>
              </w:rPr>
              <w:t>rafinatorze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Zastosowanie termopary zanurzonej w ciekłym metalu w rafinatorze.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FB6341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FB634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sz w:val="24"/>
              </w:rPr>
              <w:t>b. Sterowanie programem pracy pieca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rozwiązań umożliwiających sterowanie pracą pieca on-line /24 h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FB6341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FB634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b/>
                <w:sz w:val="24"/>
              </w:rPr>
              <w:t>c.</w:t>
            </w:r>
            <w:r w:rsidRPr="00FB6341">
              <w:rPr>
                <w:rFonts w:ascii="Times New Roman" w:hAnsi="Times New Roman" w:cs="Times New Roman"/>
                <w:sz w:val="24"/>
              </w:rPr>
              <w:t xml:space="preserve"> Parametry pracy zespołu stacji </w:t>
            </w:r>
            <w:r w:rsidRPr="00AE7958">
              <w:rPr>
                <w:rFonts w:ascii="Times New Roman" w:hAnsi="Times New Roman" w:cs="Times New Roman"/>
                <w:sz w:val="24"/>
              </w:rPr>
              <w:t>rafinująco-filtracyjnej</w:t>
            </w: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08">
              <w:rPr>
                <w:rFonts w:ascii="Times New Roman" w:hAnsi="Times New Roman" w:cs="Times New Roman"/>
                <w:sz w:val="24"/>
              </w:rPr>
              <w:t>Ciągły zapis parametrów pracy pieca: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7C4108">
              <w:rPr>
                <w:rFonts w:ascii="Times New Roman" w:hAnsi="Times New Roman" w:cs="Times New Roman"/>
                <w:sz w:val="24"/>
              </w:rPr>
              <w:t xml:space="preserve">Temperatura </w:t>
            </w:r>
            <w:r>
              <w:rPr>
                <w:rFonts w:ascii="Times New Roman" w:hAnsi="Times New Roman" w:cs="Times New Roman"/>
                <w:sz w:val="24"/>
              </w:rPr>
              <w:t>ciekłego metalu w komorze rafinatora,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otwarcia rafinatora,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pracy</w:t>
            </w:r>
            <w:r w:rsidRPr="007C41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oraz prędkości obrotowej rotora,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i przepływ gazów rafinujących,</w:t>
            </w:r>
          </w:p>
          <w:p w:rsidR="00823751" w:rsidRPr="007C4108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7C4108">
              <w:rPr>
                <w:rFonts w:ascii="Times New Roman" w:hAnsi="Times New Roman" w:cs="Times New Roman"/>
                <w:sz w:val="24"/>
              </w:rPr>
              <w:t>Zużycie energii elektrycznej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Temperatura w układzie filtracji,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poziomu metalu w układzie filtracji,</w:t>
            </w:r>
          </w:p>
          <w:p w:rsidR="00823751" w:rsidRPr="00FB6341" w:rsidRDefault="00823751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pracy układów grzejnych.</w:t>
            </w:r>
          </w:p>
        </w:tc>
        <w:tc>
          <w:tcPr>
            <w:tcW w:w="1270" w:type="dxa"/>
            <w:vAlign w:val="center"/>
          </w:tcPr>
          <w:p w:rsidR="00823751" w:rsidRPr="00F804A3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rPr>
          <w:trHeight w:val="212"/>
        </w:trPr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Archiwizacja danych pomiarowych min. 30 dni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rPr>
          <w:trHeight w:val="212"/>
        </w:trPr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Rejestr czasu pracy stacji z podziałem na praca produkcyjna, przestój planowy, przestój awaryjny</w:t>
            </w:r>
          </w:p>
        </w:tc>
        <w:tc>
          <w:tcPr>
            <w:tcW w:w="1270" w:type="dxa"/>
            <w:vAlign w:val="center"/>
          </w:tcPr>
          <w:p w:rsidR="00823751" w:rsidRPr="00F804A3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rPr>
          <w:trHeight w:val="212"/>
        </w:trPr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Język obsługi - polski</w:t>
            </w:r>
          </w:p>
        </w:tc>
        <w:tc>
          <w:tcPr>
            <w:tcW w:w="1270" w:type="dxa"/>
            <w:vAlign w:val="center"/>
          </w:tcPr>
          <w:p w:rsidR="00823751" w:rsidRPr="00F804A3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Panele obsługi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paneli obsługi i kontroli stacji:</w:t>
            </w:r>
          </w:p>
          <w:p w:rsidR="00823751" w:rsidRDefault="00823751" w:rsidP="00234E7E">
            <w:pPr>
              <w:pStyle w:val="Akapitzlist"/>
              <w:numPr>
                <w:ilvl w:val="0"/>
                <w:numId w:val="6"/>
              </w:numPr>
              <w:ind w:left="27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Panel operatora stacji</w:t>
            </w:r>
            <w:r w:rsidRPr="00864620">
              <w:rPr>
                <w:rFonts w:ascii="Times New Roman" w:hAnsi="Times New Roman" w:cs="Times New Roman"/>
                <w:sz w:val="24"/>
              </w:rPr>
              <w:t>,</w:t>
            </w:r>
          </w:p>
          <w:p w:rsidR="00823751" w:rsidRPr="00F468DC" w:rsidRDefault="00823751" w:rsidP="00234E7E">
            <w:pPr>
              <w:pStyle w:val="Akapitzlist"/>
              <w:numPr>
                <w:ilvl w:val="0"/>
                <w:numId w:val="6"/>
              </w:numPr>
              <w:ind w:left="278"/>
              <w:jc w:val="both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sz w:val="24"/>
              </w:rPr>
              <w:t>Wspólny wyświetlacz parametrów procesowych urządzeń: piec topielny, piece odstojowe, sekcja filtracji i rafinacji, linia CCR umieszczony w pomieszczeniu pracowników nadzoru.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Dane pomiarowe</w:t>
            </w:r>
          </w:p>
        </w:tc>
        <w:tc>
          <w:tcPr>
            <w:tcW w:w="3820" w:type="dxa"/>
            <w:vAlign w:val="center"/>
          </w:tcPr>
          <w:p w:rsidR="00823751" w:rsidRPr="00137D80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Kompatybilność danych z sekcją stopowania oraz zespołem odlewniczo-walcowniczym</w:t>
            </w:r>
          </w:p>
        </w:tc>
        <w:tc>
          <w:tcPr>
            <w:tcW w:w="1270" w:type="dxa"/>
            <w:vAlign w:val="center"/>
          </w:tcPr>
          <w:p w:rsidR="00823751" w:rsidRPr="00F804A3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Tr="00234E7E">
        <w:tblPrEx>
          <w:jc w:val="left"/>
        </w:tblPrEx>
        <w:tc>
          <w:tcPr>
            <w:tcW w:w="3016" w:type="dxa"/>
            <w:gridSpan w:val="2"/>
            <w:vMerge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6341">
              <w:rPr>
                <w:rFonts w:ascii="Times New Roman" w:hAnsi="Times New Roman" w:cs="Times New Roman"/>
                <w:b/>
                <w:sz w:val="24"/>
              </w:rPr>
              <w:t>f.</w:t>
            </w:r>
            <w:r>
              <w:rPr>
                <w:rFonts w:ascii="Times New Roman" w:hAnsi="Times New Roman" w:cs="Times New Roman"/>
                <w:sz w:val="24"/>
              </w:rPr>
              <w:t xml:space="preserve"> Rodzaj sterowników</w:t>
            </w: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zgodnych lub równoważnych do stosowanego w zakładzie standardu sterowników.</w:t>
            </w:r>
          </w:p>
          <w:p w:rsidR="00823751" w:rsidRPr="007C4108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Opis standardu: </w:t>
            </w:r>
            <w:r w:rsidRPr="00641E9C">
              <w:rPr>
                <w:rFonts w:ascii="Times New Roman" w:hAnsi="Times New Roman" w:cs="Times New Roman"/>
                <w:sz w:val="24"/>
              </w:rPr>
              <w:t>PLC - SIEMENS S7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7C4108" w:rsidTr="00234E7E">
        <w:tblPrEx>
          <w:jc w:val="left"/>
        </w:tblPrEx>
        <w:trPr>
          <w:trHeight w:val="50"/>
        </w:trPr>
        <w:tc>
          <w:tcPr>
            <w:tcW w:w="3016" w:type="dxa"/>
            <w:gridSpan w:val="2"/>
          </w:tcPr>
          <w:p w:rsidR="00823751" w:rsidRPr="007C4108" w:rsidRDefault="00823751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7C4108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7C4108" w:rsidRDefault="00823751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75"/>
        </w:trPr>
        <w:tc>
          <w:tcPr>
            <w:tcW w:w="3016" w:type="dxa"/>
            <w:gridSpan w:val="2"/>
            <w:vMerge w:val="restart"/>
            <w:vAlign w:val="center"/>
          </w:tcPr>
          <w:p w:rsidR="00823751" w:rsidRPr="00666556" w:rsidRDefault="00823751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 C</w:t>
            </w:r>
            <w:r w:rsidRPr="00666556">
              <w:rPr>
                <w:rFonts w:ascii="Times New Roman" w:hAnsi="Times New Roman" w:cs="Times New Roman"/>
                <w:b/>
                <w:sz w:val="24"/>
              </w:rPr>
              <w:t xml:space="preserve">zęści </w:t>
            </w:r>
            <w:r>
              <w:rPr>
                <w:rFonts w:ascii="Times New Roman" w:hAnsi="Times New Roman" w:cs="Times New Roman"/>
                <w:b/>
                <w:sz w:val="24"/>
              </w:rPr>
              <w:t>zamienne, materiały eksploatacyjne, dokumentacja techniczno-ruchowa oraz inne</w:t>
            </w:r>
          </w:p>
        </w:tc>
        <w:tc>
          <w:tcPr>
            <w:tcW w:w="2376" w:type="dxa"/>
            <w:vMerge w:val="restart"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A32E5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Części zamienne</w:t>
            </w:r>
            <w:r>
              <w:rPr>
                <w:rFonts w:ascii="Times New Roman" w:hAnsi="Times New Roman" w:cs="Times New Roman"/>
                <w:sz w:val="24"/>
              </w:rPr>
              <w:t xml:space="preserve"> do stacji rafinująco-filtracyjnej</w:t>
            </w:r>
          </w:p>
        </w:tc>
        <w:tc>
          <w:tcPr>
            <w:tcW w:w="3820" w:type="dxa"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Dostawa obejmuje części zamienne niezbędne do utrzymania ciągłej produkcji w czasie 12 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V.a.1.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75"/>
        </w:trPr>
        <w:tc>
          <w:tcPr>
            <w:tcW w:w="3016" w:type="dxa"/>
            <w:gridSpan w:val="2"/>
            <w:vMerge/>
          </w:tcPr>
          <w:p w:rsidR="00823751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141D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części zamiennych (części krytyczne)</w:t>
            </w:r>
          </w:p>
        </w:tc>
        <w:tc>
          <w:tcPr>
            <w:tcW w:w="1270" w:type="dxa"/>
            <w:vAlign w:val="center"/>
          </w:tcPr>
          <w:p w:rsidR="00823751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V.a.2.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75"/>
        </w:trPr>
        <w:tc>
          <w:tcPr>
            <w:tcW w:w="3016" w:type="dxa"/>
            <w:gridSpan w:val="2"/>
            <w:vMerge/>
          </w:tcPr>
          <w:p w:rsidR="00823751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45E9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Materiały eksploatacyjne do stacji rafinująco-filtracyjnej</w:t>
            </w:r>
          </w:p>
        </w:tc>
        <w:tc>
          <w:tcPr>
            <w:tcW w:w="3820" w:type="dxa"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64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Dostawa obejmuje </w:t>
            </w:r>
            <w:r>
              <w:rPr>
                <w:rFonts w:ascii="Times New Roman" w:hAnsi="Times New Roman" w:cs="Times New Roman"/>
                <w:sz w:val="24"/>
              </w:rPr>
              <w:t>dostawę materiałów eksploatacyjnych niezbędnych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 do utrzymania ciągłej produkcji w czasie </w:t>
            </w: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9F726D">
              <w:rPr>
                <w:rFonts w:ascii="Times New Roman" w:hAnsi="Times New Roman" w:cs="Times New Roman"/>
                <w:sz w:val="24"/>
              </w:rPr>
              <w:t>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V.b.1.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9F726D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materiałów eksploatacyjnych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V.b.2.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c. </w:t>
            </w:r>
            <w:r w:rsidRPr="00805037">
              <w:rPr>
                <w:rFonts w:ascii="Times New Roman" w:hAnsi="Times New Roman" w:cs="Times New Roman"/>
                <w:sz w:val="24"/>
              </w:rPr>
              <w:t>Układ sterowania i zasilania</w:t>
            </w:r>
          </w:p>
        </w:tc>
        <w:tc>
          <w:tcPr>
            <w:tcW w:w="3820" w:type="dxa"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pełne okablowanie wymagane do wykonania połączeń pomiędzy urządzeniami a pulpitami sterowniczymi i szafami zasilającymi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V.c.1.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wszystkie niezbędne szafy zasilające oraz sterownicze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V.c.2.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d. </w:t>
            </w:r>
            <w:r w:rsidRPr="00805037">
              <w:rPr>
                <w:rFonts w:ascii="Times New Roman" w:hAnsi="Times New Roman" w:cs="Times New Roman"/>
                <w:sz w:val="24"/>
              </w:rPr>
              <w:t>Dokumentacja Techniczno-Ruchowa</w:t>
            </w:r>
          </w:p>
        </w:tc>
        <w:tc>
          <w:tcPr>
            <w:tcW w:w="3820" w:type="dxa"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w języku polskim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V.d.1.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666556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0" w:type="dxa"/>
            <w:vAlign w:val="center"/>
          </w:tcPr>
          <w:p w:rsidR="00823751" w:rsidRPr="00666556" w:rsidRDefault="00823751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Dostawa certyfikatów CE dla urządzeń </w:t>
            </w:r>
            <w:r>
              <w:rPr>
                <w:rFonts w:ascii="Times New Roman" w:hAnsi="Times New Roman" w:cs="Times New Roman"/>
                <w:sz w:val="24"/>
              </w:rPr>
              <w:t xml:space="preserve">stacji </w:t>
            </w:r>
            <w:r w:rsidRPr="00AE7958">
              <w:rPr>
                <w:rFonts w:ascii="Times New Roman" w:hAnsi="Times New Roman" w:cs="Times New Roman"/>
                <w:sz w:val="24"/>
              </w:rPr>
              <w:t>rafinująco-filtracyjnej</w:t>
            </w:r>
          </w:p>
        </w:tc>
        <w:tc>
          <w:tcPr>
            <w:tcW w:w="1270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V.d.2.</w:t>
            </w: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666556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40516D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Pr="00805037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805037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>Oprogramowanie sterujące</w:t>
            </w:r>
          </w:p>
        </w:tc>
        <w:tc>
          <w:tcPr>
            <w:tcW w:w="3820" w:type="dxa"/>
            <w:vAlign w:val="center"/>
          </w:tcPr>
          <w:p w:rsidR="00823751" w:rsidRPr="00805037" w:rsidRDefault="00823751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Dostawca zapewni </w:t>
            </w:r>
            <w:r>
              <w:rPr>
                <w:rFonts w:ascii="Times New Roman" w:hAnsi="Times New Roman" w:cs="Times New Roman"/>
                <w:sz w:val="24"/>
              </w:rPr>
              <w:t>bezpłatnie Kupującemu</w:t>
            </w:r>
            <w:r w:rsidRPr="00805037">
              <w:rPr>
                <w:rFonts w:ascii="Times New Roman" w:hAnsi="Times New Roman" w:cs="Times New Roman"/>
                <w:sz w:val="24"/>
              </w:rPr>
              <w:t>, po okresie gwarancyjnym, pełny dostęp do oprogramowania urządzeń</w:t>
            </w:r>
          </w:p>
        </w:tc>
        <w:tc>
          <w:tcPr>
            <w:tcW w:w="1270" w:type="dxa"/>
            <w:vAlign w:val="center"/>
          </w:tcPr>
          <w:p w:rsidR="00823751" w:rsidRPr="0040516D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V.e.1.</w:t>
            </w:r>
          </w:p>
        </w:tc>
        <w:tc>
          <w:tcPr>
            <w:tcW w:w="1869" w:type="dxa"/>
            <w:vAlign w:val="center"/>
          </w:tcPr>
          <w:p w:rsidR="00823751" w:rsidRPr="0040516D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0516D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RPr="0040516D" w:rsidTr="00234E7E">
        <w:tblPrEx>
          <w:jc w:val="left"/>
        </w:tblPrEx>
        <w:trPr>
          <w:trHeight w:val="988"/>
        </w:trPr>
        <w:tc>
          <w:tcPr>
            <w:tcW w:w="3016" w:type="dxa"/>
            <w:gridSpan w:val="2"/>
            <w:vMerge/>
          </w:tcPr>
          <w:p w:rsidR="00823751" w:rsidRPr="00666556" w:rsidRDefault="00823751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23751" w:rsidRDefault="00823751" w:rsidP="00C56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f. </w:t>
            </w:r>
            <w:r>
              <w:rPr>
                <w:rFonts w:ascii="Times New Roman" w:hAnsi="Times New Roman" w:cs="Times New Roman"/>
                <w:sz w:val="24"/>
              </w:rPr>
              <w:t>Wsparcie techniczne</w:t>
            </w:r>
          </w:p>
        </w:tc>
        <w:tc>
          <w:tcPr>
            <w:tcW w:w="3820" w:type="dxa"/>
            <w:vAlign w:val="center"/>
          </w:tcPr>
          <w:p w:rsidR="00823751" w:rsidRPr="00106188" w:rsidRDefault="00823751" w:rsidP="00C563C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Dostawca zapewnia Kupującemu wsparcie techniczne w zakresie: przygotowania miejsca instalacji urządzeń, ich montażu oraz uruchomienia.</w:t>
            </w:r>
          </w:p>
        </w:tc>
        <w:tc>
          <w:tcPr>
            <w:tcW w:w="1270" w:type="dxa"/>
            <w:vAlign w:val="center"/>
          </w:tcPr>
          <w:p w:rsidR="00823751" w:rsidRDefault="00823751" w:rsidP="00C56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V.f.1.</w:t>
            </w:r>
          </w:p>
        </w:tc>
        <w:tc>
          <w:tcPr>
            <w:tcW w:w="1869" w:type="dxa"/>
            <w:vAlign w:val="center"/>
          </w:tcPr>
          <w:p w:rsidR="00823751" w:rsidRPr="0040516D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9" w:type="dxa"/>
            <w:vAlign w:val="center"/>
          </w:tcPr>
          <w:p w:rsidR="00823751" w:rsidRPr="0040516D" w:rsidRDefault="00823751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3751" w:rsidTr="00187640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  <w:hideMark/>
          </w:tcPr>
          <w:p w:rsidR="00823751" w:rsidRDefault="00823751" w:rsidP="001876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Akceptacja warunków specyfikacji </w:t>
            </w:r>
          </w:p>
        </w:tc>
      </w:tr>
      <w:tr w:rsidR="00823751" w:rsidTr="00187640">
        <w:trPr>
          <w:jc w:val="center"/>
        </w:trPr>
        <w:tc>
          <w:tcPr>
            <w:tcW w:w="14220" w:type="dxa"/>
            <w:gridSpan w:val="7"/>
          </w:tcPr>
          <w:p w:rsidR="00823751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823751" w:rsidRPr="003F0DAC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823751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823751" w:rsidRDefault="00823751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</w:t>
            </w:r>
          </w:p>
          <w:p w:rsidR="00823751" w:rsidRDefault="00823751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:rsidR="00823751" w:rsidRDefault="00823751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i podpis Oferenta</w:t>
            </w:r>
          </w:p>
          <w:p w:rsidR="00823751" w:rsidRDefault="00823751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:rsidR="00823751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823751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823751" w:rsidRPr="003F0DAC" w:rsidRDefault="00823751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356A2" w:rsidRPr="007E1EDD" w:rsidRDefault="00A356A2" w:rsidP="00A35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F22" w:rsidRPr="007E1EDD" w:rsidRDefault="00B25F22" w:rsidP="00B25F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49D" w:rsidRDefault="0006649D"/>
    <w:sectPr w:rsidR="0006649D" w:rsidSect="00135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DE" w:rsidRDefault="003A1FDE" w:rsidP="00D3691F">
      <w:pPr>
        <w:spacing w:after="0" w:line="240" w:lineRule="auto"/>
      </w:pPr>
      <w:r>
        <w:separator/>
      </w:r>
    </w:p>
  </w:endnote>
  <w:endnote w:type="continuationSeparator" w:id="0">
    <w:p w:rsidR="003A1FDE" w:rsidRDefault="003A1FDE" w:rsidP="00D3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E9" w:rsidRDefault="009118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496327"/>
      <w:docPartObj>
        <w:docPartGallery w:val="Page Numbers (Bottom of Page)"/>
        <w:docPartUnique/>
      </w:docPartObj>
    </w:sdtPr>
    <w:sdtEndPr/>
    <w:sdtContent>
      <w:p w:rsidR="00805037" w:rsidRDefault="009118E9" w:rsidP="00290529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391F9F6E" wp14:editId="0D340FD0">
              <wp:simplePos x="0" y="0"/>
              <wp:positionH relativeFrom="margin">
                <wp:posOffset>6829425</wp:posOffset>
              </wp:positionH>
              <wp:positionV relativeFrom="margin">
                <wp:posOffset>5678805</wp:posOffset>
              </wp:positionV>
              <wp:extent cx="2152650" cy="713105"/>
              <wp:effectExtent l="19050" t="0" r="0" b="0"/>
              <wp:wrapSquare wrapText="bothSides"/>
              <wp:docPr id="2" name="Obraz 75" descr="Logo UE z EFR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5" descr="Logo UE z EFR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650" cy="713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805037">
          <w:rPr>
            <w:noProof/>
            <w:lang w:eastAsia="pl-PL"/>
          </w:rPr>
          <w:drawing>
            <wp:anchor distT="0" distB="0" distL="114300" distR="114300" simplePos="0" relativeHeight="251656704" behindDoc="0" locked="0" layoutInCell="1" allowOverlap="1" wp14:anchorId="4AD8A1FE" wp14:editId="73CB6529">
              <wp:simplePos x="0" y="0"/>
              <wp:positionH relativeFrom="column">
                <wp:posOffset>-385445</wp:posOffset>
              </wp:positionH>
              <wp:positionV relativeFrom="paragraph">
                <wp:posOffset>-318135</wp:posOffset>
              </wp:positionV>
              <wp:extent cx="1485900" cy="787400"/>
              <wp:effectExtent l="0" t="0" r="0" b="0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32" name="Obraz 76" descr="Logo POI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6" descr="Logo POI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78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05037"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5CF4D891" wp14:editId="38252A7D">
              <wp:simplePos x="0" y="0"/>
              <wp:positionH relativeFrom="margin">
                <wp:posOffset>4138930</wp:posOffset>
              </wp:positionH>
              <wp:positionV relativeFrom="margin">
                <wp:posOffset>8816340</wp:posOffset>
              </wp:positionV>
              <wp:extent cx="2152650" cy="713105"/>
              <wp:effectExtent l="0" t="0" r="0" b="0"/>
              <wp:wrapSquare wrapText="bothSides"/>
              <wp:docPr id="31" name="Obraz 75" descr="Logo UE z EFR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5" descr="Logo UE z EFR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650" cy="713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805037" w:rsidRPr="00361255">
          <w:rPr>
            <w:rFonts w:ascii="Times New Roman" w:hAnsi="Times New Roman" w:cs="Times New Roman"/>
          </w:rPr>
          <w:fldChar w:fldCharType="begin"/>
        </w:r>
        <w:r w:rsidR="00805037" w:rsidRPr="00361255">
          <w:rPr>
            <w:rFonts w:ascii="Times New Roman" w:hAnsi="Times New Roman" w:cs="Times New Roman"/>
          </w:rPr>
          <w:instrText>PAGE   \* MERGEFORMAT</w:instrText>
        </w:r>
        <w:r w:rsidR="00805037" w:rsidRPr="0036125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805037" w:rsidRPr="00361255">
          <w:rPr>
            <w:rFonts w:ascii="Times New Roman" w:hAnsi="Times New Roman" w:cs="Times New Roman"/>
          </w:rPr>
          <w:fldChar w:fldCharType="end"/>
        </w:r>
        <w:r w:rsidR="00805037">
          <w:rPr>
            <w:rFonts w:ascii="Times New Roman" w:hAnsi="Times New Roman" w:cs="Times New Roman"/>
          </w:rPr>
          <w:t>/</w:t>
        </w:r>
        <w:r w:rsidR="00F468DC">
          <w:rPr>
            <w:rFonts w:ascii="Times New Roman" w:hAnsi="Times New Roman" w:cs="Times New Roman"/>
          </w:rPr>
          <w:t>7</w:t>
        </w:r>
      </w:p>
      <w:bookmarkStart w:id="0" w:name="_GoBack" w:displacedByCustomXml="next"/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E9" w:rsidRDefault="00911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DE" w:rsidRDefault="003A1FDE" w:rsidP="00D3691F">
      <w:pPr>
        <w:spacing w:after="0" w:line="240" w:lineRule="auto"/>
      </w:pPr>
      <w:r>
        <w:separator/>
      </w:r>
    </w:p>
  </w:footnote>
  <w:footnote w:type="continuationSeparator" w:id="0">
    <w:p w:rsidR="003A1FDE" w:rsidRDefault="003A1FDE" w:rsidP="00D3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E9" w:rsidRDefault="009118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37" w:rsidRDefault="00805037" w:rsidP="00290529">
    <w:pPr>
      <w:pStyle w:val="Nagwek"/>
      <w:jc w:val="center"/>
      <w:rPr>
        <w:rFonts w:ascii="Times New Roman" w:hAnsi="Times New Roman" w:cs="Times New Roman"/>
        <w:sz w:val="24"/>
      </w:rPr>
    </w:pPr>
    <w:r>
      <w:rPr>
        <w:rFonts w:ascii="Book Antiqua" w:hAnsi="Book Antiqua"/>
        <w:b/>
        <w:noProof/>
        <w:color w:val="003366"/>
        <w:spacing w:val="20"/>
        <w:sz w:val="36"/>
        <w:szCs w:val="36"/>
        <w:lang w:eastAsia="pl-PL"/>
      </w:rPr>
      <w:drawing>
        <wp:anchor distT="0" distB="0" distL="114300" distR="114300" simplePos="0" relativeHeight="251658752" behindDoc="0" locked="0" layoutInCell="1" allowOverlap="1" wp14:anchorId="7DAD02B3" wp14:editId="714D9146">
          <wp:simplePos x="0" y="0"/>
          <wp:positionH relativeFrom="column">
            <wp:posOffset>8409305</wp:posOffset>
          </wp:positionH>
          <wp:positionV relativeFrom="paragraph">
            <wp:posOffset>-208280</wp:posOffset>
          </wp:positionV>
          <wp:extent cx="829310" cy="542290"/>
          <wp:effectExtent l="0" t="0" r="8890" b="0"/>
          <wp:wrapThrough wrapText="bothSides">
            <wp:wrapPolygon edited="0">
              <wp:start x="0" y="0"/>
              <wp:lineTo x="0" y="20487"/>
              <wp:lineTo x="21335" y="20487"/>
              <wp:lineTo x="2133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47CB1B32" wp14:editId="55DF353D">
          <wp:simplePos x="0" y="0"/>
          <wp:positionH relativeFrom="column">
            <wp:posOffset>-434340</wp:posOffset>
          </wp:positionH>
          <wp:positionV relativeFrom="paragraph">
            <wp:posOffset>-210185</wp:posOffset>
          </wp:positionV>
          <wp:extent cx="424815" cy="678180"/>
          <wp:effectExtent l="19050" t="0" r="0" b="0"/>
          <wp:wrapNone/>
          <wp:docPr id="13" name="Obraz 13" descr="logo boryszew hi re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oryszew hi res 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</w:rPr>
      <w:t>TS NPA/0044-</w:t>
    </w:r>
    <w:r w:rsidR="00BE6754">
      <w:rPr>
        <w:rFonts w:ascii="Times New Roman" w:hAnsi="Times New Roman" w:cs="Times New Roman"/>
        <w:sz w:val="24"/>
      </w:rPr>
      <w:t>2</w:t>
    </w:r>
    <w:r>
      <w:rPr>
        <w:rFonts w:ascii="Times New Roman" w:hAnsi="Times New Roman" w:cs="Times New Roman"/>
        <w:sz w:val="24"/>
      </w:rPr>
      <w:t xml:space="preserve">, wersja </w:t>
    </w:r>
    <w:r w:rsidR="00BE6754">
      <w:rPr>
        <w:rFonts w:ascii="Times New Roman" w:hAnsi="Times New Roman" w:cs="Times New Roman"/>
        <w:sz w:val="24"/>
      </w:rPr>
      <w:t>3</w:t>
    </w:r>
    <w:r>
      <w:rPr>
        <w:rFonts w:ascii="Times New Roman" w:hAnsi="Times New Roman" w:cs="Times New Roman"/>
        <w:sz w:val="24"/>
      </w:rPr>
      <w:t>,0</w:t>
    </w:r>
  </w:p>
  <w:p w:rsidR="00805037" w:rsidRDefault="00805037" w:rsidP="00361255">
    <w:pPr>
      <w:pStyle w:val="Nagwek"/>
      <w:jc w:val="right"/>
    </w:pPr>
  </w:p>
  <w:p w:rsidR="00805037" w:rsidRDefault="00805037" w:rsidP="0036125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E9" w:rsidRDefault="009118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8C0"/>
    <w:multiLevelType w:val="hybridMultilevel"/>
    <w:tmpl w:val="4FCE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764"/>
    <w:multiLevelType w:val="hybridMultilevel"/>
    <w:tmpl w:val="DDA6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04F8"/>
    <w:multiLevelType w:val="hybridMultilevel"/>
    <w:tmpl w:val="A61A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3224"/>
    <w:multiLevelType w:val="hybridMultilevel"/>
    <w:tmpl w:val="1A26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45F1"/>
    <w:multiLevelType w:val="hybridMultilevel"/>
    <w:tmpl w:val="4CAE4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40B5"/>
    <w:multiLevelType w:val="hybridMultilevel"/>
    <w:tmpl w:val="39BC4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92C"/>
    <w:multiLevelType w:val="hybridMultilevel"/>
    <w:tmpl w:val="DBE6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0055"/>
    <w:multiLevelType w:val="hybridMultilevel"/>
    <w:tmpl w:val="338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27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ED"/>
    <w:rsid w:val="00022C0A"/>
    <w:rsid w:val="00035F30"/>
    <w:rsid w:val="000403B8"/>
    <w:rsid w:val="0006649D"/>
    <w:rsid w:val="0007157B"/>
    <w:rsid w:val="000C2398"/>
    <w:rsid w:val="000D0FED"/>
    <w:rsid w:val="000D283D"/>
    <w:rsid w:val="000E2B53"/>
    <w:rsid w:val="000F2ABD"/>
    <w:rsid w:val="000F4CFD"/>
    <w:rsid w:val="000F74F3"/>
    <w:rsid w:val="00102931"/>
    <w:rsid w:val="001073CF"/>
    <w:rsid w:val="00135627"/>
    <w:rsid w:val="001357D0"/>
    <w:rsid w:val="00137D80"/>
    <w:rsid w:val="001474EA"/>
    <w:rsid w:val="001565C3"/>
    <w:rsid w:val="0017103B"/>
    <w:rsid w:val="00183207"/>
    <w:rsid w:val="001875EF"/>
    <w:rsid w:val="001930E7"/>
    <w:rsid w:val="00196E89"/>
    <w:rsid w:val="001B2ABB"/>
    <w:rsid w:val="001D6386"/>
    <w:rsid w:val="00220BA8"/>
    <w:rsid w:val="00224221"/>
    <w:rsid w:val="002325B9"/>
    <w:rsid w:val="00232D95"/>
    <w:rsid w:val="00234E7E"/>
    <w:rsid w:val="00237075"/>
    <w:rsid w:val="00244228"/>
    <w:rsid w:val="002524B1"/>
    <w:rsid w:val="00255B55"/>
    <w:rsid w:val="00286E8E"/>
    <w:rsid w:val="00290529"/>
    <w:rsid w:val="002B223C"/>
    <w:rsid w:val="002D0E23"/>
    <w:rsid w:val="002E0C42"/>
    <w:rsid w:val="00301442"/>
    <w:rsid w:val="0030746C"/>
    <w:rsid w:val="003326C3"/>
    <w:rsid w:val="00361255"/>
    <w:rsid w:val="0036488E"/>
    <w:rsid w:val="003705E6"/>
    <w:rsid w:val="00393297"/>
    <w:rsid w:val="003A1FDE"/>
    <w:rsid w:val="003A4164"/>
    <w:rsid w:val="003C70D6"/>
    <w:rsid w:val="003E1F67"/>
    <w:rsid w:val="003F0DAC"/>
    <w:rsid w:val="003F1D1D"/>
    <w:rsid w:val="003F6BA2"/>
    <w:rsid w:val="0040516D"/>
    <w:rsid w:val="00420650"/>
    <w:rsid w:val="00421EF3"/>
    <w:rsid w:val="00421F66"/>
    <w:rsid w:val="00457256"/>
    <w:rsid w:val="004734A7"/>
    <w:rsid w:val="004734AC"/>
    <w:rsid w:val="00474902"/>
    <w:rsid w:val="00477592"/>
    <w:rsid w:val="004A7320"/>
    <w:rsid w:val="004C58C0"/>
    <w:rsid w:val="004D4971"/>
    <w:rsid w:val="004E10F5"/>
    <w:rsid w:val="004E5D9E"/>
    <w:rsid w:val="004E5E3F"/>
    <w:rsid w:val="004E7962"/>
    <w:rsid w:val="004F357D"/>
    <w:rsid w:val="0050210B"/>
    <w:rsid w:val="005130B1"/>
    <w:rsid w:val="005222EE"/>
    <w:rsid w:val="00522F87"/>
    <w:rsid w:val="0054470F"/>
    <w:rsid w:val="00545FF3"/>
    <w:rsid w:val="00551174"/>
    <w:rsid w:val="005718CB"/>
    <w:rsid w:val="005805E0"/>
    <w:rsid w:val="00593E88"/>
    <w:rsid w:val="005A5570"/>
    <w:rsid w:val="005A7124"/>
    <w:rsid w:val="005B6185"/>
    <w:rsid w:val="005C24C6"/>
    <w:rsid w:val="005E11B6"/>
    <w:rsid w:val="005F1B5F"/>
    <w:rsid w:val="0062271C"/>
    <w:rsid w:val="00636455"/>
    <w:rsid w:val="00663616"/>
    <w:rsid w:val="006661FD"/>
    <w:rsid w:val="00666556"/>
    <w:rsid w:val="00674269"/>
    <w:rsid w:val="00675E0C"/>
    <w:rsid w:val="00685019"/>
    <w:rsid w:val="006860CF"/>
    <w:rsid w:val="00695106"/>
    <w:rsid w:val="006A5820"/>
    <w:rsid w:val="006B229E"/>
    <w:rsid w:val="006D4B84"/>
    <w:rsid w:val="006E014C"/>
    <w:rsid w:val="006E69FD"/>
    <w:rsid w:val="006F7088"/>
    <w:rsid w:val="00700703"/>
    <w:rsid w:val="00714057"/>
    <w:rsid w:val="007172B7"/>
    <w:rsid w:val="0073169B"/>
    <w:rsid w:val="007475B7"/>
    <w:rsid w:val="00757F4B"/>
    <w:rsid w:val="00761F97"/>
    <w:rsid w:val="00771CEE"/>
    <w:rsid w:val="00771EF5"/>
    <w:rsid w:val="0077707D"/>
    <w:rsid w:val="0077795D"/>
    <w:rsid w:val="00781093"/>
    <w:rsid w:val="00783E39"/>
    <w:rsid w:val="00786070"/>
    <w:rsid w:val="007B040D"/>
    <w:rsid w:val="007B4FAF"/>
    <w:rsid w:val="007C016C"/>
    <w:rsid w:val="007E1EDD"/>
    <w:rsid w:val="007F6B11"/>
    <w:rsid w:val="00805037"/>
    <w:rsid w:val="008070D6"/>
    <w:rsid w:val="0081286B"/>
    <w:rsid w:val="00813ABC"/>
    <w:rsid w:val="00822B47"/>
    <w:rsid w:val="00823751"/>
    <w:rsid w:val="008252FD"/>
    <w:rsid w:val="00864620"/>
    <w:rsid w:val="008725F1"/>
    <w:rsid w:val="00876916"/>
    <w:rsid w:val="008B7241"/>
    <w:rsid w:val="008B7B12"/>
    <w:rsid w:val="008D6775"/>
    <w:rsid w:val="008E7DFB"/>
    <w:rsid w:val="009118E9"/>
    <w:rsid w:val="00945EB0"/>
    <w:rsid w:val="0095745A"/>
    <w:rsid w:val="009610B5"/>
    <w:rsid w:val="00962F55"/>
    <w:rsid w:val="00967D71"/>
    <w:rsid w:val="0097029A"/>
    <w:rsid w:val="00981C2E"/>
    <w:rsid w:val="00990E4B"/>
    <w:rsid w:val="00996F7A"/>
    <w:rsid w:val="009B7941"/>
    <w:rsid w:val="009E0A14"/>
    <w:rsid w:val="009E444F"/>
    <w:rsid w:val="009F726D"/>
    <w:rsid w:val="00A15E08"/>
    <w:rsid w:val="00A172E6"/>
    <w:rsid w:val="00A356A2"/>
    <w:rsid w:val="00A760D0"/>
    <w:rsid w:val="00A778F0"/>
    <w:rsid w:val="00A832A2"/>
    <w:rsid w:val="00A95744"/>
    <w:rsid w:val="00AB5501"/>
    <w:rsid w:val="00AB5788"/>
    <w:rsid w:val="00AB704F"/>
    <w:rsid w:val="00AC3169"/>
    <w:rsid w:val="00AC4F6C"/>
    <w:rsid w:val="00AD298C"/>
    <w:rsid w:val="00AE7958"/>
    <w:rsid w:val="00AF0516"/>
    <w:rsid w:val="00B00FC0"/>
    <w:rsid w:val="00B13E9F"/>
    <w:rsid w:val="00B25F22"/>
    <w:rsid w:val="00B64A9A"/>
    <w:rsid w:val="00B8109B"/>
    <w:rsid w:val="00B85633"/>
    <w:rsid w:val="00B90C81"/>
    <w:rsid w:val="00B91EDB"/>
    <w:rsid w:val="00BA2853"/>
    <w:rsid w:val="00BB22F8"/>
    <w:rsid w:val="00BB521B"/>
    <w:rsid w:val="00BC0A5A"/>
    <w:rsid w:val="00BC0D2C"/>
    <w:rsid w:val="00BC4F99"/>
    <w:rsid w:val="00BE19D2"/>
    <w:rsid w:val="00BE6754"/>
    <w:rsid w:val="00BF1AAF"/>
    <w:rsid w:val="00BF5F09"/>
    <w:rsid w:val="00C01F8C"/>
    <w:rsid w:val="00C03FC5"/>
    <w:rsid w:val="00C078A0"/>
    <w:rsid w:val="00C33B3A"/>
    <w:rsid w:val="00C34A2E"/>
    <w:rsid w:val="00C5277A"/>
    <w:rsid w:val="00C53B11"/>
    <w:rsid w:val="00C77C61"/>
    <w:rsid w:val="00C867D9"/>
    <w:rsid w:val="00C93366"/>
    <w:rsid w:val="00CA42D2"/>
    <w:rsid w:val="00CA4C59"/>
    <w:rsid w:val="00CA60F0"/>
    <w:rsid w:val="00CC26A5"/>
    <w:rsid w:val="00CC7752"/>
    <w:rsid w:val="00CD7794"/>
    <w:rsid w:val="00CE6794"/>
    <w:rsid w:val="00CF345E"/>
    <w:rsid w:val="00D070F4"/>
    <w:rsid w:val="00D07B86"/>
    <w:rsid w:val="00D30B0A"/>
    <w:rsid w:val="00D341D1"/>
    <w:rsid w:val="00D35D8B"/>
    <w:rsid w:val="00D3691F"/>
    <w:rsid w:val="00D54F2E"/>
    <w:rsid w:val="00D61F6F"/>
    <w:rsid w:val="00D74BF7"/>
    <w:rsid w:val="00D82353"/>
    <w:rsid w:val="00D85607"/>
    <w:rsid w:val="00D96CDA"/>
    <w:rsid w:val="00DA3310"/>
    <w:rsid w:val="00DC3C74"/>
    <w:rsid w:val="00DD46E4"/>
    <w:rsid w:val="00DF3B8E"/>
    <w:rsid w:val="00E075CE"/>
    <w:rsid w:val="00E3087B"/>
    <w:rsid w:val="00E361A2"/>
    <w:rsid w:val="00E521AD"/>
    <w:rsid w:val="00E52970"/>
    <w:rsid w:val="00E65CFA"/>
    <w:rsid w:val="00E87489"/>
    <w:rsid w:val="00E91DB3"/>
    <w:rsid w:val="00E9293A"/>
    <w:rsid w:val="00E94466"/>
    <w:rsid w:val="00EA3AB3"/>
    <w:rsid w:val="00EB5B18"/>
    <w:rsid w:val="00EC2192"/>
    <w:rsid w:val="00EC3AFF"/>
    <w:rsid w:val="00EC6533"/>
    <w:rsid w:val="00F032C0"/>
    <w:rsid w:val="00F0655D"/>
    <w:rsid w:val="00F20672"/>
    <w:rsid w:val="00F468DC"/>
    <w:rsid w:val="00F677FB"/>
    <w:rsid w:val="00F80327"/>
    <w:rsid w:val="00F804A3"/>
    <w:rsid w:val="00F96F27"/>
    <w:rsid w:val="00FA5389"/>
    <w:rsid w:val="00FE0E49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8A4AAD-6A3E-4D20-A3CF-724BC682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5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91F"/>
  </w:style>
  <w:style w:type="paragraph" w:styleId="Stopka">
    <w:name w:val="footer"/>
    <w:basedOn w:val="Normalny"/>
    <w:link w:val="Stopka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91F"/>
  </w:style>
  <w:style w:type="paragraph" w:styleId="Tekstdymka">
    <w:name w:val="Balloon Text"/>
    <w:basedOn w:val="Normalny"/>
    <w:link w:val="TekstdymkaZnak"/>
    <w:uiPriority w:val="99"/>
    <w:semiHidden/>
    <w:unhideWhenUsed/>
    <w:rsid w:val="005F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B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6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1C76-18EC-468C-9DDE-9D3667CD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Ewelina Starmach</cp:lastModifiedBy>
  <cp:revision>14</cp:revision>
  <cp:lastPrinted>2017-05-26T14:22:00Z</cp:lastPrinted>
  <dcterms:created xsi:type="dcterms:W3CDTF">2017-07-14T10:51:00Z</dcterms:created>
  <dcterms:modified xsi:type="dcterms:W3CDTF">2017-07-21T05:53:00Z</dcterms:modified>
</cp:coreProperties>
</file>